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4"/>
          <w:left w:val="nil" w:sz="4"/>
          <w:bottom w:val="nil" w:sz="4"/>
          <w:right w:val="nil" w:sz="4"/>
          <w:insideH w:val="nil" w:sz="4"/>
          <w:insideV w:val="nil" w:sz="4"/>
        </w:tblBorders>
      </w:tblPr>
      <w:tblGrid>
        <w:gridCol w:w="3969"/>
        <w:gridCol w:w="5386"/>
      </w:tblGrid>
      <w:tr>
        <w:tc>
          <w:tcPr>
            <w:tcW w:type="dxa" w:w="3969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CÔNG TY TNHH ABC</w:t>
            </w:r>
          </w:p>
          <w:p>
            <w:pPr>
              <w:spacing w:after="0" w:line="276" w:lineRule="auto"/>
              <w:jc w:val="center"/>
            </w:pPr>
            <w:r>
              <w:rPr>
                <w:b w:val="0"/>
                <w:i w:val="0"/>
                <w:sz w:val="20"/>
              </w:rPr>
              <w:t>———</w:t>
            </w:r>
          </w:p>
          <w:p>
            <w:pPr>
              <w:spacing w:after="0" w:line="276" w:lineRule="auto"/>
              <w:jc w:val="center"/>
            </w:pPr>
            <w:r>
              <w:rPr>
                <w:b w:val="0"/>
                <w:i w:val="0"/>
                <w:sz w:val="26"/>
              </w:rPr>
              <w:t>Số: 15/2026/QĐ-ABC</w:t>
            </w:r>
          </w:p>
        </w:tc>
        <w:tc>
          <w:tcPr>
            <w:tcW w:type="dxa" w:w="5386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CỘNG HÒA XÃ HỘI CHỦ NGHĨA VIỆT NAM</w:t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</w:rPr>
              <w:t>Độc lập - Tự do - Hạnh phúc</w:t>
            </w:r>
          </w:p>
          <w:p>
            <w:pPr>
              <w:spacing w:after="0" w:line="276" w:lineRule="auto"/>
              <w:jc w:val="center"/>
            </w:pPr>
            <w:r>
              <w:rPr>
                <w:b w:val="0"/>
                <w:i w:val="0"/>
                <w:sz w:val="20"/>
              </w:rPr>
              <w:t>———————</w:t>
            </w:r>
          </w:p>
          <w:p>
            <w:pPr>
              <w:spacing w:after="0" w:line="276" w:lineRule="auto"/>
              <w:jc w:val="center"/>
            </w:pPr>
            <w:r>
              <w:rPr>
                <w:b w:val="0"/>
                <w:i/>
                <w:sz w:val="24"/>
              </w:rPr>
              <w:t>Thành phố Hồ Chí Minh, ngày 15 tháng 9 năm 2026</w:t>
            </w:r>
          </w:p>
        </w:tc>
      </w:tr>
    </w:tbl>
    <w:p>
      <w:pPr>
        <w:spacing w:after="120" w:line="276" w:lineRule="auto"/>
      </w:pPr>
    </w:p>
    <w:p>
      <w:pPr>
        <w:spacing w:after="0" w:line="276" w:lineRule="auto"/>
        <w:jc w:val="center"/>
      </w:pPr>
      <w:r>
        <w:rPr>
          <w:b/>
          <w:i w:val="0"/>
          <w:sz w:val="28"/>
        </w:rPr>
        <w:t>QUYẾT ĐỊNH</w:t>
      </w:r>
    </w:p>
    <w:p>
      <w:pPr>
        <w:spacing w:after="0" w:line="276" w:lineRule="auto"/>
        <w:jc w:val="center"/>
      </w:pPr>
      <w:r>
        <w:rPr>
          <w:b/>
          <w:i w:val="0"/>
        </w:rPr>
        <w:t>Về việc tặng quà Trung thu năm 2026 cho khách hàng, đối tác và người lao động</w:t>
      </w:r>
    </w:p>
    <w:p>
      <w:pPr>
        <w:spacing w:after="120" w:line="276" w:lineRule="auto"/>
        <w:jc w:val="center"/>
      </w:pPr>
      <w:r>
        <w:rPr>
          <w:b w:val="0"/>
          <w:i w:val="0"/>
          <w:sz w:val="20"/>
        </w:rPr>
        <w:t>———</w:t>
      </w:r>
    </w:p>
    <w:p>
      <w:pPr>
        <w:spacing w:after="120" w:line="276" w:lineRule="auto"/>
        <w:jc w:val="center"/>
      </w:pPr>
      <w:r>
        <w:rPr>
          <w:b/>
          <w:i w:val="0"/>
        </w:rPr>
        <w:t>GIÁM ĐỐC CÔNG TY TNHH ABC</w:t>
      </w:r>
    </w:p>
    <w:p>
      <w:pPr>
        <w:spacing w:after="60" w:line="276" w:lineRule="auto"/>
        <w:ind w:firstLine="567"/>
        <w:jc w:val="both"/>
      </w:pPr>
      <w:r>
        <w:rPr>
          <w:b w:val="0"/>
          <w:i/>
        </w:rPr>
        <w:t>Căn cứ Luật Doanh nghiệp ngày 17 tháng 6 năm 2020 và các văn bản sửa đổi, bổ sung;</w:t>
      </w:r>
    </w:p>
    <w:p>
      <w:pPr>
        <w:spacing w:after="60" w:line="276" w:lineRule="auto"/>
        <w:ind w:firstLine="567"/>
        <w:jc w:val="both"/>
      </w:pPr>
      <w:r>
        <w:rPr>
          <w:b w:val="0"/>
          <w:i/>
        </w:rPr>
        <w:t>Căn cứ Điều lệ Công ty TNHH ABC;</w:t>
      </w:r>
    </w:p>
    <w:p>
      <w:pPr>
        <w:spacing w:after="60" w:line="276" w:lineRule="auto"/>
        <w:ind w:firstLine="567"/>
        <w:jc w:val="both"/>
      </w:pPr>
      <w:r>
        <w:rPr>
          <w:b w:val="0"/>
          <w:i/>
        </w:rPr>
        <w:t>Căn cứ Quy chế tài chính và Quy chế lương, thưởng, phúc lợi của Công ty TNHH ABC;</w:t>
      </w:r>
    </w:p>
    <w:p>
      <w:pPr>
        <w:spacing w:after="60" w:line="276" w:lineRule="auto"/>
        <w:ind w:firstLine="567"/>
        <w:jc w:val="both"/>
      </w:pPr>
      <w:r>
        <w:rPr>
          <w:b w:val="0"/>
          <w:i/>
        </w:rPr>
        <w:t>Căn cứ Kế hoạch ngân sách chi tiếp khách, đối ngoại và phúc lợi năm 2026 đã được phê duyệt;</w:t>
      </w:r>
    </w:p>
    <w:p>
      <w:pPr>
        <w:spacing w:after="60" w:line="276" w:lineRule="auto"/>
        <w:ind w:firstLine="567"/>
        <w:jc w:val="both"/>
      </w:pPr>
      <w:r>
        <w:rPr>
          <w:b w:val="0"/>
          <w:i/>
        </w:rPr>
        <w:t>Theo đề nghị của Trưởng phòng Hành chính - Nhân sự và Kế toán trưởng.</w:t>
      </w:r>
    </w:p>
    <w:p>
      <w:pPr>
        <w:spacing w:after="120" w:line="276" w:lineRule="auto"/>
        <w:jc w:val="center"/>
      </w:pPr>
      <w:r>
        <w:rPr>
          <w:b/>
          <w:i w:val="0"/>
        </w:rPr>
        <w:t>QUYẾT ĐỊNH:</w:t>
      </w:r>
    </w:p>
    <w:p>
      <w:pPr>
        <w:spacing w:after="60" w:line="276" w:lineRule="auto"/>
        <w:ind w:firstLine="567"/>
        <w:jc w:val="both"/>
      </w:pPr>
      <w:r>
        <w:rPr>
          <w:b/>
        </w:rPr>
        <w:t xml:space="preserve">Điều 1. </w:t>
      </w:r>
      <w:r>
        <w:rPr>
          <w:b/>
        </w:rPr>
        <w:t>Đối tượng, số lượng, đơn giá và ngân sách tặng quà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Tặng quà Trung thu năm 2026 (hộp bánh trung thu) cho hai nhóm đối tượng như sau: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1559"/>
        <w:gridCol w:w="1559"/>
        <w:gridCol w:w="1559"/>
        <w:gridCol w:w="1559"/>
        <w:gridCol w:w="1559"/>
        <w:gridCol w:w="1559"/>
      </w:tblGrid>
      <w:tr>
        <w:tc>
          <w:tcPr>
            <w:tcW w:type="dxa" w:w="794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Số thứ tự</w:t>
            </w:r>
          </w:p>
        </w:tc>
        <w:tc>
          <w:tcPr>
            <w:tcW w:type="dxa" w:w="2041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Nhóm đối tượng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Số lượng (hộp)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Đơn giá đã có thuế giá trị gia tăng (đồng/hộp)</w:t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Thành tiền (đồng)</w:t>
            </w:r>
          </w:p>
        </w:tc>
        <w:tc>
          <w:tcPr>
            <w:tcW w:type="dxa" w:w="1984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Ghi chú</w:t>
            </w:r>
          </w:p>
        </w:tc>
      </w:tr>
      <w:tr>
        <w:tc>
          <w:tcPr>
            <w:tcW w:type="dxa" w:w="794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1</w:t>
            </w:r>
          </w:p>
        </w:tc>
        <w:tc>
          <w:tcPr>
            <w:tcW w:type="dxa" w:w="2041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Khách hàng, đối tác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40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 w:val="0"/>
                <w:i w:val="0"/>
                <w:sz w:val="22"/>
              </w:rPr>
              <w:t>650.000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i w:val="0"/>
                <w:sz w:val="22"/>
              </w:rPr>
              <w:t>26.000.000</w:t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Chi phí tiếp khách, đối ngoại (biếu tặng)</w:t>
            </w:r>
          </w:p>
        </w:tc>
      </w:tr>
      <w:tr>
        <w:tc>
          <w:tcPr>
            <w:tcW w:type="dxa" w:w="794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2</w:t>
            </w:r>
          </w:p>
        </w:tc>
        <w:tc>
          <w:tcPr>
            <w:tcW w:type="dxa" w:w="2041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Người lao động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25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 w:val="0"/>
                <w:i w:val="0"/>
                <w:sz w:val="22"/>
              </w:rPr>
              <w:t>450.000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 w:val="0"/>
                <w:i w:val="0"/>
                <w:sz w:val="22"/>
              </w:rPr>
              <w:t>11.250.000</w:t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Phúc lợi cho người lao động</w:t>
            </w:r>
          </w:p>
        </w:tc>
      </w:tr>
      <w:tr>
        <w:tc>
          <w:tcPr>
            <w:tcW w:type="dxa" w:w="794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</w:r>
          </w:p>
        </w:tc>
        <w:tc>
          <w:tcPr>
            <w:tcW w:type="dxa" w:w="2041"/>
          </w:tcPr>
          <w:p>
            <w:pPr>
              <w:jc w:val="left"/>
            </w:pPr>
            <w:r>
              <w:rPr>
                <w:b/>
                <w:i w:val="0"/>
                <w:sz w:val="22"/>
              </w:rPr>
              <w:t>Tổng cộng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65</w:t>
            </w:r>
          </w:p>
        </w:tc>
        <w:tc>
          <w:tcPr>
            <w:tcW w:type="dxa" w:w="1814"/>
          </w:tcPr>
          <w:p>
            <w:pPr>
              <w:jc w:val="right"/>
            </w:pPr>
            <w:r>
              <w:rPr>
                <w:b/>
                <w:i w:val="0"/>
                <w:sz w:val="22"/>
              </w:rPr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b/>
                <w:i w:val="0"/>
                <w:sz w:val="22"/>
              </w:rPr>
              <w:t>37.250.000</w:t>
            </w:r>
          </w:p>
        </w:tc>
        <w:tc>
          <w:tcPr>
            <w:tcW w:type="dxa" w:w="1984"/>
          </w:tcPr>
          <w:p>
            <w:pPr>
              <w:jc w:val="left"/>
            </w:pPr>
            <w:r>
              <w:rPr>
                <w:b/>
                <w:i w:val="0"/>
                <w:sz w:val="22"/>
              </w:rPr>
            </w:r>
          </w:p>
        </w:tc>
      </w:tr>
    </w:tbl>
    <w:p>
      <w:pPr>
        <w:spacing w:after="60" w:line="276" w:lineRule="auto"/>
        <w:ind w:firstLine="567"/>
        <w:jc w:val="both"/>
      </w:pPr>
      <w:r>
        <w:rPr>
          <w:b w:val="0"/>
          <w:i/>
        </w:rPr>
        <w:t>(Bằng chữ tổng ngân sách: Ba mươi bảy triệu hai trăm năm mươi nghìn đồng.)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Danh sách nhận quà theo Phụ lục kèm theo Quyết định này, gồm Biểu 1 Bảng kê giao quà cho khách hàng và Biểu 2 Danh sách người lao động ký nhận.</w:t>
      </w:r>
    </w:p>
    <w:p>
      <w:pPr>
        <w:spacing w:after="60" w:line="276" w:lineRule="auto"/>
        <w:ind w:firstLine="567"/>
        <w:jc w:val="both"/>
      </w:pPr>
      <w:r>
        <w:rPr>
          <w:b/>
        </w:rPr>
        <w:t xml:space="preserve">Điều 2. </w:t>
      </w:r>
      <w:r>
        <w:rPr>
          <w:b/>
        </w:rPr>
        <w:t>Thời gian, bộ phận thực hiện và nguồn chi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1. Thời gian trao quà: từ ngày 20 tháng 9 năm 2026 đến ngày 25 tháng 9 năm 2026 (trước Tết Trung thu ngày 25 tháng 9 năm 2026).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2. Phòng Hành chính - Nhân sự chủ trì mua hàng, lấy hoá đơn giá trị gia tăng đứng tên Công ty, tổ chức trao quà và thu đủ chữ ký nhận theo danh sách.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3. Phòng Kinh doanh lập danh sách khách hàng, đối tác; nhân viên phụ trách từng khách trực tiếp giao quà và ký vào Bảng kê giao quà cho khách hàng.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4. Phòng Kế toán kiểm tra hồ sơ theo Điều 3, lập hoá đơn cho hàng biếu tặng theo quy định và hạch toán đúng khoản mục.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5. Nguồn chi: chi phí hoạt động sản xuất kinh doanh năm 2026 của Công ty; phần tặng người lao động chi theo Quy chế lương, thưởng, phúc lợi.</w:t>
      </w:r>
    </w:p>
    <w:p>
      <w:pPr>
        <w:spacing w:after="60" w:line="276" w:lineRule="auto"/>
        <w:ind w:firstLine="567"/>
        <w:jc w:val="both"/>
      </w:pPr>
      <w:r>
        <w:rPr>
          <w:b/>
        </w:rPr>
        <w:t xml:space="preserve">Điều 3. </w:t>
      </w:r>
      <w:r>
        <w:rPr>
          <w:b/>
        </w:rPr>
        <w:t>Hồ sơ, chứng từ phải thu thập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A. Đầu vào khi mua, Phòng Hành chính - Nhân sự thu và nộp cho Phòng Kế toán chậm nhất ngày 19 tháng 9 năm 2026: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1. Quyết định này;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2. Đề nghị mua hàng và báo giá;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3. Hợp đồng hoặc đơn đặt hàng;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4. Hoá đơn mua vào ghi đúng tên, mã số thuế của Công ty;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5. Chứng từ thanh toán không dùng tiền mặt cho lần mua từ 05 triệu đồng trở lên (đã gồm thuế);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6. Phiếu nhập kho hoặc biên bản giao nhận hàng.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B. Đầu ra khi tặng, các bộ phận nộp cho Phòng Kế toán chậm nhất ngày 30 tháng 9 năm 2026: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1. Hoá đơn hàng biếu, tặng (Phòng Kế toán lập);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2. Phiếu xuất kho (Phòng Hành chính - Nhân sự);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3. Bảng kê giao quà cho khách hàng, do nhân viên phụ trách từng khách ký (Phòng Kinh doanh);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4. Danh sách người lao động ký nhận (Phòng Hành chính - Nhân sự);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5. Bảng tổng hợp phúc lợi năm 2026 để đối chiếu mức 01 tháng lương bình quân (Phòng Kế toán);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6. Chứng cứ giao quà cho khách hàng: ảnh giao quà, tin nhắn cảm ơn hoặc phiếu gửi hàng có mã vận đơn (Phòng Kinh doanh).</w:t>
      </w:r>
    </w:p>
    <w:p>
      <w:pPr>
        <w:spacing w:after="60" w:line="276" w:lineRule="auto"/>
        <w:ind w:firstLine="567"/>
        <w:jc w:val="both"/>
      </w:pPr>
      <w:r>
        <w:rPr>
          <w:b/>
        </w:rPr>
        <w:t xml:space="preserve">Điều 4. </w:t>
      </w:r>
      <w:r>
        <w:rPr>
          <w:b/>
        </w:rPr>
        <w:t>Hiệu lực và trách nhiệm thi hành</w:t>
      </w:r>
    </w:p>
    <w:p>
      <w:pPr>
        <w:spacing w:after="60" w:line="276" w:lineRule="auto"/>
        <w:ind w:firstLine="567"/>
        <w:jc w:val="both"/>
      </w:pPr>
      <w:r>
        <w:rPr>
          <w:b w:val="0"/>
          <w:i w:val="0"/>
        </w:rPr>
        <w:t>Quyết định này có hiệu lực kể từ ngày ký. Trưởng phòng Hành chính - Nhân sự, Trưởng phòng Kinh doanh, Kế toán trưởng và các cá nhân có liên quan chịu trách nhiệm thi hành Quyết định này./.</w:t>
      </w:r>
    </w:p>
    <w:p>
      <w:pPr>
        <w:spacing w:after="120" w:line="276" w:lineRule="auto"/>
      </w:pPr>
    </w:p>
    <w:tbl>
      <w:tblPr>
        <w:tblW w:type="auto" w:w="0"/>
        <w:tblLook w:firstColumn="1" w:firstRow="1" w:lastColumn="0" w:lastRow="0" w:noHBand="0" w:noVBand="1" w:val="04A0"/>
        <w:tblBorders>
          <w:top w:val="nil" w:sz="4"/>
          <w:left w:val="nil" w:sz="4"/>
          <w:bottom w:val="nil" w:sz="4"/>
          <w:right w:val="nil" w:sz="4"/>
          <w:insideH w:val="nil" w:sz="4"/>
          <w:insideV w:val="nil" w:sz="4"/>
        </w:tblBorders>
      </w:tblPr>
      <w:tblGrid>
        <w:gridCol w:w="4677"/>
        <w:gridCol w:w="4677"/>
      </w:tblGrid>
      <w:tr>
        <w:tc>
          <w:tcPr>
            <w:tcW w:type="dxa" w:w="4535"/>
          </w:tcPr>
          <w:p>
            <w:pPr>
              <w:jc w:val="left"/>
            </w:pPr>
            <w:r>
              <w:rPr>
                <w:b/>
                <w:i/>
                <w:sz w:val="24"/>
              </w:rPr>
              <w:t>Nơi nhận:</w:t>
            </w:r>
          </w:p>
          <w:p>
            <w:pPr>
              <w:spacing w:after="0" w:line="276" w:lineRule="auto"/>
            </w:pPr>
            <w:r>
              <w:rPr>
                <w:b w:val="0"/>
                <w:i w:val="0"/>
                <w:sz w:val="22"/>
              </w:rPr>
              <w:t>- Như Điều 4;</w:t>
            </w:r>
          </w:p>
          <w:p>
            <w:pPr>
              <w:spacing w:after="0" w:line="276" w:lineRule="auto"/>
            </w:pPr>
            <w:r>
              <w:rPr>
                <w:b w:val="0"/>
                <w:i w:val="0"/>
                <w:sz w:val="22"/>
              </w:rPr>
              <w:t>- Hội đồng thành viên (để báo cáo);</w:t>
            </w:r>
          </w:p>
          <w:p>
            <w:pPr>
              <w:spacing w:after="0" w:line="276" w:lineRule="auto"/>
            </w:pPr>
            <w:r>
              <w:rPr>
                <w:b w:val="0"/>
                <w:i w:val="0"/>
                <w:sz w:val="22"/>
              </w:rPr>
              <w:t>- Lưu: Văn thư, Kế toán.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GIÁM ĐỐC</w:t>
            </w:r>
          </w:p>
          <w:p>
            <w:pPr>
              <w:spacing w:after="0" w:line="276" w:lineRule="auto"/>
              <w:jc w:val="center"/>
            </w:pPr>
            <w:r>
              <w:rPr>
                <w:b w:val="0"/>
                <w:i/>
                <w:sz w:val="24"/>
              </w:rPr>
              <w:t>(Ký, ghi rõ họ tên, đóng dấu)</w:t>
            </w: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</w:rPr>
              <w:t>Nguyễn Văn A</w:t>
            </w:r>
          </w:p>
        </w:tc>
      </w:tr>
    </w:tbl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